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8195C">
      <w:pPr>
        <w:spacing w:line="572" w:lineRule="exact"/>
        <w:rPr>
          <w:rFonts w:ascii="黑体" w:hAnsi="黑体" w:eastAsia="黑体" w:cs="黑体"/>
          <w:sz w:val="32"/>
          <w:szCs w:val="32"/>
        </w:rPr>
      </w:pPr>
      <w:r>
        <w:rPr>
          <w:rFonts w:hint="eastAsia" w:ascii="黑体" w:hAnsi="黑体" w:eastAsia="黑体" w:cs="黑体"/>
          <w:sz w:val="32"/>
          <w:szCs w:val="32"/>
        </w:rPr>
        <w:t>附件</w:t>
      </w:r>
    </w:p>
    <w:p w14:paraId="5D777430">
      <w:pPr>
        <w:widowControl/>
        <w:shd w:val="clear" w:color="auto" w:fill="FFFFFF"/>
        <w:spacing w:after="240" w:line="560" w:lineRule="exact"/>
        <w:jc w:val="center"/>
        <w:textAlignment w:val="baseline"/>
        <w:outlineLvl w:val="2"/>
        <w:rPr>
          <w:rFonts w:ascii="方正小标宋简体" w:eastAsia="方正小标宋简体"/>
          <w:sz w:val="44"/>
          <w:szCs w:val="44"/>
        </w:rPr>
      </w:pPr>
      <w:r>
        <w:rPr>
          <w:rFonts w:hint="eastAsia" w:ascii="方正小标宋简体" w:eastAsia="方正小标宋简体"/>
          <w:sz w:val="44"/>
          <w:szCs w:val="44"/>
        </w:rPr>
        <w:t>梅州市校车安全管理办法</w:t>
      </w:r>
    </w:p>
    <w:p w14:paraId="3D3C6E0C">
      <w:pPr>
        <w:widowControl/>
        <w:shd w:val="clear" w:color="auto" w:fill="FFFFFF"/>
        <w:spacing w:after="240" w:line="560" w:lineRule="exact"/>
        <w:jc w:val="center"/>
        <w:textAlignment w:val="baseline"/>
        <w:outlineLvl w:val="2"/>
        <w:rPr>
          <w:rFonts w:ascii="仿宋" w:hAnsi="仿宋" w:eastAsia="仿宋" w:cs="仿宋"/>
          <w:sz w:val="32"/>
          <w:szCs w:val="32"/>
        </w:rPr>
      </w:pPr>
      <w:r>
        <w:rPr>
          <w:rFonts w:hint="eastAsia" w:ascii="仿宋_GB2312" w:hAnsi="Segoe UI" w:eastAsia="仿宋_GB2312" w:cs="Segoe UI"/>
          <w:kern w:val="0"/>
          <w:sz w:val="32"/>
          <w:szCs w:val="32"/>
        </w:rPr>
        <w:t>（征求意见稿）</w:t>
      </w:r>
    </w:p>
    <w:p w14:paraId="3C8C3BEE">
      <w:pPr>
        <w:spacing w:line="572" w:lineRule="exact"/>
        <w:ind w:firstLine="640" w:firstLineChars="200"/>
        <w:rPr>
          <w:rFonts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为加强本市校车安全管理，保障乘坐校车学生及幼儿的人身安全，根据《校车安全管理条例》《广东省实施〈校车安全管理条例〉办法》等法规规章，结合本市实际，制定本办法。 </w:t>
      </w:r>
    </w:p>
    <w:p w14:paraId="1F2BC031">
      <w:pPr>
        <w:spacing w:line="572" w:lineRule="exact"/>
        <w:ind w:firstLine="640" w:firstLineChars="200"/>
        <w:rPr>
          <w:rFonts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xml:space="preserve">  本市行政区域内校车的安全管理活动，适用本办法。本办法所称校车，是指在本市行政区域内依法取得校车使用许可的学校自有或租赁的，用于接送学龄前幼儿和接受义务教育的学生上下学的7座以上载客汽车。 </w:t>
      </w:r>
    </w:p>
    <w:p w14:paraId="44172EE1">
      <w:pPr>
        <w:spacing w:line="572" w:lineRule="exact"/>
        <w:ind w:firstLine="640" w:firstLineChars="200"/>
        <w:rPr>
          <w:rFonts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 xml:space="preserve">  接送小学生的校车应当使用小学生专用校车或者中小学生专用校车。接送中学生的校车应当使用中小学生专用校车。入园幼儿应当由监护人或者其委托的成年人接送，对确因特殊情况不能由监护人或者其委托的成年人接送，需要使用车辆集中接送的，应当使用幼儿专用校车。一贯制学校应根据学生学龄配备相应专用校车。 </w:t>
      </w:r>
    </w:p>
    <w:p w14:paraId="22B0AD95">
      <w:pPr>
        <w:spacing w:line="572" w:lineRule="exact"/>
        <w:ind w:firstLine="640" w:firstLineChars="200"/>
        <w:rPr>
          <w:rFonts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校车所有人或者管理人，应当依照《中华人民共和国道路交通安全法》《校车安全管理条例》的规定投保机动车交通事故责任强制保险、机动车承运人责任保险以及其他必要的险种。有关保险费率浮动优惠及保险理赔事项，依据上级相关规定执行。</w:t>
      </w:r>
    </w:p>
    <w:p w14:paraId="3D7405DD">
      <w:pPr>
        <w:spacing w:line="572" w:lineRule="exact"/>
        <w:ind w:firstLine="640" w:firstLineChars="200"/>
        <w:rPr>
          <w:rFonts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xml:space="preserve">  校车在公安机关交通管理部门注册登记的所有人应当为学校或者校车服务提供者。申请注册登记时，应当提供学校、校车服务提供者的身份证明。未提供相应身份证明的，依法不予办理注册登记。 </w:t>
      </w:r>
    </w:p>
    <w:p w14:paraId="42BF039B">
      <w:pPr>
        <w:spacing w:line="572" w:lineRule="exact"/>
        <w:ind w:firstLine="640" w:firstLineChars="200"/>
        <w:rPr>
          <w:rFonts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xml:space="preserve">  学校或者校车服务提供者申请校车使用许可，应当按照管理权限依法向市、县（市、区）教育行政部门提交以下材料：</w:t>
      </w:r>
    </w:p>
    <w:p w14:paraId="33CC5F19">
      <w:pPr>
        <w:spacing w:line="572" w:lineRule="exact"/>
        <w:ind w:firstLine="640" w:firstLineChars="200"/>
        <w:rPr>
          <w:rFonts w:ascii="仿宋" w:hAnsi="仿宋" w:eastAsia="仿宋" w:cs="仿宋"/>
          <w:sz w:val="32"/>
          <w:szCs w:val="32"/>
        </w:rPr>
      </w:pPr>
      <w:r>
        <w:rPr>
          <w:rFonts w:hint="eastAsia" w:ascii="仿宋" w:hAnsi="仿宋" w:eastAsia="仿宋" w:cs="仿宋"/>
          <w:sz w:val="32"/>
          <w:szCs w:val="32"/>
        </w:rPr>
        <w:t>(一)校车所有人身份证明;</w:t>
      </w:r>
    </w:p>
    <w:p w14:paraId="5654AB06">
      <w:pPr>
        <w:spacing w:line="572" w:lineRule="exact"/>
        <w:ind w:firstLine="640" w:firstLineChars="200"/>
        <w:rPr>
          <w:rFonts w:ascii="仿宋" w:hAnsi="仿宋" w:eastAsia="仿宋" w:cs="仿宋"/>
          <w:sz w:val="32"/>
          <w:szCs w:val="32"/>
        </w:rPr>
      </w:pPr>
      <w:r>
        <w:rPr>
          <w:rFonts w:hint="eastAsia" w:ascii="仿宋" w:hAnsi="仿宋" w:eastAsia="仿宋" w:cs="仿宋"/>
          <w:sz w:val="32"/>
          <w:szCs w:val="32"/>
        </w:rPr>
        <w:t>(二)机动车登记证书和行驶证;</w:t>
      </w:r>
    </w:p>
    <w:p w14:paraId="36101F7C">
      <w:pPr>
        <w:spacing w:line="572" w:lineRule="exact"/>
        <w:ind w:firstLine="640" w:firstLineChars="200"/>
        <w:rPr>
          <w:rFonts w:ascii="仿宋" w:hAnsi="仿宋" w:eastAsia="仿宋" w:cs="仿宋"/>
          <w:sz w:val="32"/>
          <w:szCs w:val="32"/>
        </w:rPr>
      </w:pPr>
      <w:r>
        <w:rPr>
          <w:rFonts w:hint="eastAsia" w:ascii="仿宋" w:hAnsi="仿宋" w:eastAsia="仿宋" w:cs="仿宋"/>
          <w:sz w:val="32"/>
          <w:szCs w:val="32"/>
        </w:rPr>
        <w:t>(三)校车经机动车安全技术检验并取得的合格证明;</w:t>
      </w:r>
    </w:p>
    <w:p w14:paraId="276DBDEE">
      <w:pPr>
        <w:spacing w:line="572" w:lineRule="exact"/>
        <w:ind w:firstLine="640" w:firstLineChars="200"/>
        <w:rPr>
          <w:rFonts w:ascii="仿宋" w:hAnsi="仿宋" w:eastAsia="仿宋" w:cs="仿宋"/>
          <w:sz w:val="32"/>
          <w:szCs w:val="32"/>
        </w:rPr>
      </w:pPr>
      <w:r>
        <w:rPr>
          <w:rFonts w:hint="eastAsia" w:ascii="仿宋" w:hAnsi="仿宋" w:eastAsia="仿宋" w:cs="仿宋"/>
          <w:sz w:val="32"/>
          <w:szCs w:val="32"/>
        </w:rPr>
        <w:t>(四)取得校车驾驶资格驾驶人的驾驶证;</w:t>
      </w:r>
    </w:p>
    <w:p w14:paraId="15E3D9C9">
      <w:pPr>
        <w:spacing w:line="572" w:lineRule="exact"/>
        <w:ind w:firstLine="640" w:firstLineChars="200"/>
        <w:rPr>
          <w:rFonts w:ascii="仿宋" w:hAnsi="仿宋" w:eastAsia="仿宋" w:cs="仿宋"/>
          <w:sz w:val="32"/>
          <w:szCs w:val="32"/>
        </w:rPr>
      </w:pPr>
      <w:r>
        <w:rPr>
          <w:rFonts w:hint="eastAsia" w:ascii="仿宋" w:hAnsi="仿宋" w:eastAsia="仿宋" w:cs="仿宋"/>
          <w:sz w:val="32"/>
          <w:szCs w:val="32"/>
        </w:rPr>
        <w:t>(五)包括行驶线路、开行时间和停靠站点在内的校车运行方案;</w:t>
      </w:r>
    </w:p>
    <w:p w14:paraId="24AE1385">
      <w:pPr>
        <w:spacing w:line="572" w:lineRule="exact"/>
        <w:ind w:firstLine="640" w:firstLineChars="200"/>
        <w:rPr>
          <w:rFonts w:ascii="仿宋" w:hAnsi="仿宋" w:eastAsia="仿宋" w:cs="仿宋"/>
          <w:sz w:val="32"/>
          <w:szCs w:val="32"/>
        </w:rPr>
      </w:pPr>
      <w:r>
        <w:rPr>
          <w:rFonts w:hint="eastAsia" w:ascii="仿宋" w:hAnsi="仿宋" w:eastAsia="仿宋" w:cs="仿宋"/>
          <w:sz w:val="32"/>
          <w:szCs w:val="32"/>
        </w:rPr>
        <w:t>(六)校车安全管理制度;</w:t>
      </w:r>
    </w:p>
    <w:p w14:paraId="5114629C">
      <w:pPr>
        <w:spacing w:line="572" w:lineRule="exact"/>
        <w:ind w:firstLine="640" w:firstLineChars="200"/>
        <w:rPr>
          <w:rFonts w:ascii="仿宋" w:hAnsi="仿宋" w:eastAsia="仿宋" w:cs="仿宋"/>
          <w:sz w:val="32"/>
          <w:szCs w:val="32"/>
        </w:rPr>
      </w:pPr>
      <w:r>
        <w:rPr>
          <w:rFonts w:hint="eastAsia" w:ascii="仿宋" w:hAnsi="仿宋" w:eastAsia="仿宋" w:cs="仿宋"/>
          <w:sz w:val="32"/>
          <w:szCs w:val="32"/>
        </w:rPr>
        <w:t>(七)机动车承运人责任保险凭证，</w:t>
      </w:r>
    </w:p>
    <w:p w14:paraId="28ADDD24">
      <w:pPr>
        <w:spacing w:line="572"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由市、县（市、区）教育行政部门对申请材料进行审核。经审核申请材料符合规定的，市、县（市、区）教育行政部门应当予以受理；不符合规定的，应当自收到申请材料之日起3个工作日内退回原申请人。 </w:t>
      </w:r>
    </w:p>
    <w:p w14:paraId="0DCC3B4F">
      <w:pPr>
        <w:spacing w:line="572" w:lineRule="exact"/>
        <w:ind w:firstLine="640" w:firstLineChars="200"/>
        <w:rPr>
          <w:rFonts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rPr>
        <w:t xml:space="preserve">  教育行政部门应当自受理之日起3个工作日内，分别送同级公安机关交通管理部门、交通运输部门征求意见；涉及城市道路的，还应当送同级负责城市道路管理的机构征求意见。</w:t>
      </w:r>
    </w:p>
    <w:p w14:paraId="0D8A03BF">
      <w:pPr>
        <w:spacing w:line="572"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公安机关交通管理部门、交通运输部门、城市道路管理的机构收到征求意见材料后，应当在3个工作日内向教育行政管理部门回复意见。 </w:t>
      </w:r>
    </w:p>
    <w:p w14:paraId="1E8481A9">
      <w:pPr>
        <w:spacing w:line="572" w:lineRule="exact"/>
        <w:ind w:firstLine="640" w:firstLineChars="200"/>
        <w:rPr>
          <w:rFonts w:ascii="仿宋" w:hAnsi="仿宋" w:eastAsia="仿宋" w:cs="仿宋"/>
          <w:sz w:val="32"/>
          <w:szCs w:val="32"/>
        </w:rPr>
      </w:pPr>
      <w:r>
        <w:rPr>
          <w:rFonts w:hint="eastAsia" w:ascii="仿宋" w:hAnsi="仿宋" w:eastAsia="仿宋" w:cs="仿宋"/>
          <w:sz w:val="32"/>
          <w:szCs w:val="32"/>
        </w:rPr>
        <w:t>校车行驶线路超出教育行政部门所在县（市、区）的，收到申请材料的教育行政部门还应当向相关县级人民政府教育行政部门征求意见，通过发函、传真或邮件等形式将《梅州市校车使用许可申请表》对应发至所跨县（市、区）的教育行政部门，收到校车行驶线路跨区域</w:t>
      </w:r>
      <w:r>
        <w:rPr>
          <w:rFonts w:hint="eastAsia" w:ascii="仿宋" w:hAnsi="仿宋" w:eastAsia="仿宋" w:cs="仿宋"/>
          <w:sz w:val="32"/>
          <w:szCs w:val="32"/>
          <w:lang w:val="en-US" w:eastAsia="zh-CN"/>
        </w:rPr>
        <w:t>行驶</w:t>
      </w:r>
      <w:bookmarkStart w:id="0" w:name="_GoBack"/>
      <w:bookmarkEnd w:id="0"/>
      <w:r>
        <w:rPr>
          <w:rFonts w:hint="eastAsia" w:ascii="仿宋" w:hAnsi="仿宋" w:eastAsia="仿宋" w:cs="仿宋"/>
          <w:sz w:val="32"/>
          <w:szCs w:val="32"/>
        </w:rPr>
        <w:t>有关材料的县（市、区）教育行政部门应按申请流程分别送同级公安机关交通管理部门、交通运输部门征求意见；涉及城市道路的，还应当送同级负责城市道路管理的机构征求意见。所跨县（市、区）的公安机关交通管理部门和交通运输部门、城市道路管理的机构在收到后应对行驶路线、开行时间和停靠站点提出意见，在3个工作日内加具意见和加盖公章后回复，回复件作为资料附后备查。如不同意应说明理由并提出改进意见，经协商后重新确定。在校车安全技术检验时跨县（市、区）运营资料如无变动不另行发文审查。</w:t>
      </w:r>
    </w:p>
    <w:p w14:paraId="696856A8">
      <w:pPr>
        <w:spacing w:line="572" w:lineRule="exact"/>
        <w:ind w:firstLine="640" w:firstLineChars="200"/>
        <w:rPr>
          <w:rFonts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xml:space="preserve">  教育行政部门应当自收到相关部门回复意见之日起5个工作日内提出审查意见，报本级人民政府。本级人民政府应当自收到审查意见之日起5个工作日内，作出是否批准的决定；决定批准的，应当设定许可有效期。有效期最长不得超过3年。决定不予批准的，应当书面说明理由，并告知申请人享有依法申请行政复议或者提起行政诉讼的权利。</w:t>
      </w:r>
    </w:p>
    <w:p w14:paraId="7754947B">
      <w:pPr>
        <w:spacing w:line="572" w:lineRule="exact"/>
        <w:ind w:firstLine="640" w:firstLineChars="200"/>
        <w:rPr>
          <w:rFonts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rPr>
        <w:t xml:space="preserve">  申请人取得校车使用许可后，应当向作出许可决定的同级公安机关交通管理部门申领校车标牌。公安机关交通管理部门应当在3个工作日内发放校车标牌，并在机动车行驶证上签注校车类型和核载人数。</w:t>
      </w:r>
    </w:p>
    <w:p w14:paraId="630B4793">
      <w:pPr>
        <w:spacing w:line="572"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校车标牌应当载明本车的号牌号码、机动车所有人、驾驶人、行驶线路、开行时间、停靠站点以及校车标牌发牌单位等事项。 </w:t>
      </w:r>
    </w:p>
    <w:p w14:paraId="38799D8E">
      <w:pPr>
        <w:spacing w:line="572" w:lineRule="exact"/>
        <w:ind w:firstLine="640" w:firstLineChars="200"/>
        <w:rPr>
          <w:rFonts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rPr>
        <w:t xml:space="preserve">  申请延续校车使用许可有效期的，被许可人应当在有效期届满前，提前30日以上提出申请。许可机关应当在有效期届满之日前作出是否准予延续的决定。</w:t>
      </w:r>
    </w:p>
    <w:p w14:paraId="2E566F04">
      <w:pPr>
        <w:spacing w:line="572"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校车使用许可有效期届满未申请延续或者申请未被批准的，原被许可人应当在5日内将校车标牌交回原核发的公安机关交通管理部门。公安机关交通管理部门应当将校车标牌回收情况向教育行政部门通报。 </w:t>
      </w:r>
    </w:p>
    <w:p w14:paraId="0B86E61A">
      <w:pPr>
        <w:spacing w:line="572" w:lineRule="exact"/>
        <w:ind w:firstLine="640" w:firstLineChars="200"/>
        <w:rPr>
          <w:rFonts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xml:space="preserve">  校车标牌载明事项发生变化的，应当依照本办法第六条至第八条的规定申请变更校车使用许可，经许可机关批准，重新领取校车标牌。 </w:t>
      </w:r>
    </w:p>
    <w:p w14:paraId="2D38E506">
      <w:pPr>
        <w:spacing w:line="572" w:lineRule="exact"/>
        <w:ind w:firstLine="640" w:firstLineChars="200"/>
        <w:rPr>
          <w:rFonts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sz w:val="32"/>
          <w:szCs w:val="32"/>
        </w:rPr>
        <w:t xml:space="preserve">  取得校车标牌的车辆因故不再作为校车使用的，学校或者校车服务提供者应当在15天内，到所在市、县（市、区）教育行政部门办理注销手续。同时，将校车标牌交回公安交通管理部门。自有校车的颜色必须在30天内消除。</w:t>
      </w:r>
    </w:p>
    <w:p w14:paraId="7133A2B2">
      <w:pPr>
        <w:spacing w:line="572" w:lineRule="exact"/>
        <w:ind w:firstLine="640" w:firstLineChars="200"/>
        <w:rPr>
          <w:rFonts w:ascii="仿宋" w:hAnsi="仿宋" w:eastAsia="仿宋" w:cs="仿宋"/>
          <w:sz w:val="32"/>
          <w:szCs w:val="32"/>
        </w:rPr>
      </w:pPr>
      <w:r>
        <w:rPr>
          <w:rFonts w:hint="eastAsia" w:ascii="黑体" w:hAnsi="黑体" w:eastAsia="黑体" w:cs="黑体"/>
          <w:sz w:val="32"/>
          <w:szCs w:val="32"/>
        </w:rPr>
        <w:t>第十三条</w:t>
      </w:r>
      <w:r>
        <w:rPr>
          <w:rFonts w:hint="eastAsia" w:ascii="仿宋" w:hAnsi="仿宋" w:eastAsia="仿宋" w:cs="仿宋"/>
          <w:sz w:val="32"/>
          <w:szCs w:val="32"/>
        </w:rPr>
        <w:t xml:space="preserve">  有下列情形之一，校车无法正常运行的，学校或者校车服务提供者经向当地发放校车标牌的公安机关交通管理部门备案后，可以于当日内临时调配其他取得校车标牌的校车或者取得校车驾驶资格的驾驶人，并使用原校车标牌。</w:t>
      </w:r>
    </w:p>
    <w:p w14:paraId="1C915678">
      <w:pPr>
        <w:spacing w:line="572" w:lineRule="exact"/>
        <w:ind w:firstLine="640" w:firstLineChars="200"/>
        <w:rPr>
          <w:rFonts w:ascii="仿宋" w:hAnsi="仿宋" w:eastAsia="仿宋" w:cs="仿宋"/>
          <w:sz w:val="32"/>
          <w:szCs w:val="32"/>
        </w:rPr>
      </w:pPr>
      <w:r>
        <w:rPr>
          <w:rFonts w:hint="eastAsia" w:ascii="仿宋" w:hAnsi="仿宋" w:eastAsia="仿宋" w:cs="仿宋"/>
          <w:sz w:val="32"/>
          <w:szCs w:val="32"/>
        </w:rPr>
        <w:t>（一）校车发生故障或者进行维修的；</w:t>
      </w:r>
    </w:p>
    <w:p w14:paraId="5A2CA509">
      <w:pPr>
        <w:spacing w:line="572" w:lineRule="exact"/>
        <w:rPr>
          <w:rFonts w:ascii="仿宋" w:hAnsi="仿宋" w:eastAsia="仿宋" w:cs="仿宋"/>
          <w:sz w:val="32"/>
          <w:szCs w:val="32"/>
        </w:rPr>
      </w:pPr>
      <w:r>
        <w:rPr>
          <w:rFonts w:hint="eastAsia" w:ascii="仿宋" w:hAnsi="仿宋" w:eastAsia="仿宋" w:cs="仿宋"/>
          <w:sz w:val="32"/>
          <w:szCs w:val="32"/>
        </w:rPr>
        <w:t xml:space="preserve">    （二）校车进行安全技术检验的；</w:t>
      </w:r>
    </w:p>
    <w:p w14:paraId="5E21B9CE">
      <w:pPr>
        <w:spacing w:line="572" w:lineRule="exact"/>
        <w:rPr>
          <w:rFonts w:ascii="仿宋" w:hAnsi="仿宋" w:eastAsia="仿宋" w:cs="仿宋"/>
          <w:sz w:val="32"/>
          <w:szCs w:val="32"/>
        </w:rPr>
      </w:pPr>
      <w:r>
        <w:rPr>
          <w:rFonts w:hint="eastAsia" w:ascii="仿宋" w:hAnsi="仿宋" w:eastAsia="仿宋" w:cs="仿宋"/>
          <w:sz w:val="32"/>
          <w:szCs w:val="32"/>
        </w:rPr>
        <w:t xml:space="preserve">    （三）校车发生交通事故或者因交通违法被查扣的；</w:t>
      </w:r>
    </w:p>
    <w:p w14:paraId="5B749CBA">
      <w:pPr>
        <w:spacing w:line="572" w:lineRule="exact"/>
        <w:rPr>
          <w:rFonts w:ascii="仿宋" w:hAnsi="仿宋" w:eastAsia="仿宋" w:cs="仿宋"/>
          <w:sz w:val="32"/>
          <w:szCs w:val="32"/>
        </w:rPr>
      </w:pPr>
      <w:r>
        <w:rPr>
          <w:rFonts w:hint="eastAsia" w:ascii="仿宋" w:hAnsi="仿宋" w:eastAsia="仿宋" w:cs="仿宋"/>
          <w:sz w:val="32"/>
          <w:szCs w:val="32"/>
        </w:rPr>
        <w:t xml:space="preserve">    （四）校车驾驶人因病或者其他原因无法驾驶校车的。</w:t>
      </w:r>
    </w:p>
    <w:p w14:paraId="17E4E8ED">
      <w:pPr>
        <w:spacing w:line="572" w:lineRule="exact"/>
        <w:ind w:firstLine="640" w:firstLineChars="200"/>
        <w:rPr>
          <w:rFonts w:ascii="仿宋" w:hAnsi="仿宋" w:eastAsia="仿宋" w:cs="仿宋"/>
          <w:sz w:val="32"/>
          <w:szCs w:val="32"/>
        </w:rPr>
      </w:pPr>
      <w:r>
        <w:rPr>
          <w:rFonts w:hint="eastAsia" w:ascii="仿宋" w:hAnsi="仿宋" w:eastAsia="仿宋" w:cs="仿宋"/>
          <w:sz w:val="32"/>
          <w:szCs w:val="32"/>
        </w:rPr>
        <w:t>发放校车标牌的公安机关交通管理部门应当公布接受备案的方式。</w:t>
      </w:r>
    </w:p>
    <w:p w14:paraId="5246C4F2">
      <w:pPr>
        <w:spacing w:line="572" w:lineRule="exact"/>
        <w:ind w:firstLine="640" w:firstLineChars="200"/>
        <w:rPr>
          <w:rFonts w:ascii="仿宋" w:hAnsi="仿宋" w:eastAsia="仿宋" w:cs="仿宋"/>
          <w:sz w:val="32"/>
          <w:szCs w:val="32"/>
        </w:rPr>
      </w:pPr>
      <w:r>
        <w:rPr>
          <w:rFonts w:hint="eastAsia" w:ascii="黑体" w:hAnsi="黑体" w:eastAsia="黑体" w:cs="黑体"/>
          <w:sz w:val="32"/>
          <w:szCs w:val="32"/>
        </w:rPr>
        <w:t>第十四条</w:t>
      </w:r>
      <w:r>
        <w:rPr>
          <w:rFonts w:hint="eastAsia" w:ascii="仿宋" w:hAnsi="仿宋" w:eastAsia="仿宋" w:cs="仿宋"/>
          <w:sz w:val="32"/>
          <w:szCs w:val="32"/>
        </w:rPr>
        <w:t xml:space="preserve">  禁止使用未取得校车标牌的车辆提供校车服务。禁止借用、冒用、盗用和伪造、变造校车标牌。禁止未取得符合国家校车驾驶资格条件的驾驶人驾驶校车。</w:t>
      </w:r>
    </w:p>
    <w:p w14:paraId="4299F487">
      <w:pPr>
        <w:spacing w:line="572" w:lineRule="exact"/>
        <w:ind w:firstLine="640" w:firstLineChars="200"/>
        <w:rPr>
          <w:rFonts w:ascii="仿宋" w:hAnsi="仿宋" w:eastAsia="仿宋" w:cs="仿宋"/>
          <w:sz w:val="32"/>
          <w:szCs w:val="32"/>
        </w:rPr>
      </w:pPr>
      <w:r>
        <w:rPr>
          <w:rFonts w:hint="eastAsia" w:ascii="黑体" w:hAnsi="黑体" w:eastAsia="黑体" w:cs="黑体"/>
          <w:sz w:val="32"/>
          <w:szCs w:val="32"/>
        </w:rPr>
        <w:t>第十五条</w:t>
      </w:r>
      <w:r>
        <w:rPr>
          <w:rFonts w:hint="eastAsia" w:ascii="仿宋" w:hAnsi="仿宋" w:eastAsia="仿宋" w:cs="仿宋"/>
          <w:sz w:val="32"/>
          <w:szCs w:val="32"/>
        </w:rPr>
        <w:t xml:space="preserve">  校车应当每半年进行一次机动车安全技术检验。</w:t>
      </w:r>
    </w:p>
    <w:p w14:paraId="6CBCE2D8">
      <w:pPr>
        <w:spacing w:line="572"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校车通过机动车安全技术检验，且校车所有人、驾驶人、行驶线路、开行时间、停靠站点等取得校车使用许可的条件在实际运营中未发生变化的，公安机关交通管理部门应当直接换发新的校车标牌。上述取得校车使用许可的条件在实际运营中发生变化的，学校或者校车服务提供者应当依照本办法第六条至第九条申请变更校车使用许可，重新领取校车标牌。 </w:t>
      </w:r>
    </w:p>
    <w:p w14:paraId="373C5A58">
      <w:pPr>
        <w:spacing w:line="572" w:lineRule="exact"/>
        <w:ind w:firstLine="640" w:firstLineChars="200"/>
        <w:rPr>
          <w:rFonts w:ascii="仿宋" w:hAnsi="仿宋" w:eastAsia="仿宋" w:cs="仿宋"/>
          <w:sz w:val="32"/>
          <w:szCs w:val="32"/>
        </w:rPr>
      </w:pPr>
      <w:r>
        <w:rPr>
          <w:rFonts w:hint="eastAsia" w:ascii="仿宋" w:hAnsi="仿宋" w:eastAsia="仿宋" w:cs="仿宋"/>
          <w:sz w:val="32"/>
          <w:szCs w:val="32"/>
        </w:rPr>
        <w:t>未按时取得机动车安全技术检验合格证明的校车已不具备取得校车使用许可条件，公安机关交通管理部门应当收回校车标牌，并通知许可机关撤销该校车使用许可。</w:t>
      </w:r>
    </w:p>
    <w:p w14:paraId="3D479355">
      <w:pPr>
        <w:spacing w:line="572" w:lineRule="exact"/>
        <w:ind w:firstLine="640" w:firstLineChars="200"/>
        <w:rPr>
          <w:rFonts w:ascii="仿宋" w:hAnsi="仿宋" w:eastAsia="仿宋" w:cs="仿宋"/>
          <w:sz w:val="32"/>
          <w:szCs w:val="32"/>
        </w:rPr>
      </w:pPr>
      <w:r>
        <w:rPr>
          <w:rFonts w:hint="eastAsia" w:ascii="黑体" w:hAnsi="黑体" w:eastAsia="黑体" w:cs="黑体"/>
          <w:sz w:val="32"/>
          <w:szCs w:val="32"/>
        </w:rPr>
        <w:t>第十六条</w:t>
      </w:r>
      <w:r>
        <w:rPr>
          <w:rFonts w:hint="eastAsia" w:ascii="仿宋" w:hAnsi="仿宋" w:eastAsia="仿宋" w:cs="仿宋"/>
          <w:sz w:val="32"/>
          <w:szCs w:val="32"/>
        </w:rPr>
        <w:t xml:space="preserve">  校车应当按照规定配备带有卫星定位功能的汽车行驶记录仪。学校、校车服务提供者应当建立卫星定位汽车行驶记录仪监控平台，对校车运行进行实时监管。校车行驶记录装置监控平台应当与全市的校车动态信息监控平台互联互通，实现车况、偏航实时监管。监控记录保存时限不少于30日；涉及安全事故的，监控记录保存时限不少于3年。 </w:t>
      </w:r>
    </w:p>
    <w:p w14:paraId="1EC73E47">
      <w:pPr>
        <w:spacing w:line="572" w:lineRule="exact"/>
        <w:ind w:firstLine="640" w:firstLineChars="200"/>
        <w:rPr>
          <w:rFonts w:ascii="仿宋" w:hAnsi="仿宋" w:eastAsia="仿宋" w:cs="仿宋"/>
          <w:sz w:val="32"/>
          <w:szCs w:val="32"/>
        </w:rPr>
      </w:pPr>
      <w:r>
        <w:rPr>
          <w:rFonts w:hint="eastAsia" w:ascii="黑体" w:hAnsi="黑体" w:eastAsia="黑体" w:cs="黑体"/>
          <w:sz w:val="32"/>
          <w:szCs w:val="32"/>
        </w:rPr>
        <w:t>第十七条</w:t>
      </w:r>
      <w:r>
        <w:rPr>
          <w:rFonts w:hint="eastAsia" w:ascii="仿宋" w:hAnsi="仿宋" w:eastAsia="仿宋" w:cs="仿宋"/>
          <w:sz w:val="32"/>
          <w:szCs w:val="32"/>
        </w:rPr>
        <w:t xml:space="preserve">  校车运载学生时，应当配备随车照管人员。随车照管人员应符合以下条件：年龄在22周岁以上，不超过60周岁；具有一定的组织沟通能力；身体健康，无传染性疾病、无癫痫、精神病等可能危及照管安全的疾病病史，无酗酒、吸毒行为记录；无犯罪记录。非本地户籍的应当提供在本地的居住证明。</w:t>
      </w:r>
    </w:p>
    <w:p w14:paraId="1A78C195">
      <w:pPr>
        <w:spacing w:line="572" w:lineRule="exact"/>
        <w:ind w:firstLine="640" w:firstLineChars="200"/>
        <w:rPr>
          <w:rFonts w:ascii="仿宋" w:hAnsi="仿宋" w:eastAsia="仿宋" w:cs="仿宋"/>
          <w:sz w:val="32"/>
          <w:szCs w:val="32"/>
        </w:rPr>
      </w:pPr>
      <w:r>
        <w:rPr>
          <w:rFonts w:hint="eastAsia" w:ascii="仿宋" w:hAnsi="仿宋" w:eastAsia="仿宋" w:cs="仿宋"/>
          <w:sz w:val="32"/>
          <w:szCs w:val="32"/>
        </w:rPr>
        <w:t>校车运载学生时，应在规定的位置悬挂校车标牌，开启校车标志灯；按规定路线、规定时间行驶，在规定站点停靠；上下学生时，还应开启危险警告信号灯（双跳灯），同时启用停车指示牌；可在公交专用车道及其他禁止社会车辆通行但允许公共交通车辆通行的路段行驶，但不得在非机动车道上行驶。</w:t>
      </w:r>
    </w:p>
    <w:p w14:paraId="44C55530">
      <w:pPr>
        <w:spacing w:line="572" w:lineRule="exact"/>
        <w:ind w:firstLine="640" w:firstLineChars="200"/>
        <w:rPr>
          <w:rFonts w:ascii="仿宋" w:hAnsi="仿宋" w:eastAsia="仿宋" w:cs="仿宋"/>
          <w:sz w:val="32"/>
          <w:szCs w:val="32"/>
        </w:rPr>
      </w:pPr>
      <w:r>
        <w:rPr>
          <w:rFonts w:hint="eastAsia" w:ascii="仿宋" w:hAnsi="仿宋" w:eastAsia="仿宋" w:cs="仿宋"/>
          <w:sz w:val="32"/>
          <w:szCs w:val="32"/>
        </w:rPr>
        <w:t>校车必须确保一人一座，禁止站立；不得以任何理由超员，不得违反国家规定的限速要求。</w:t>
      </w:r>
    </w:p>
    <w:p w14:paraId="44DB6F79">
      <w:pPr>
        <w:spacing w:line="572" w:lineRule="exact"/>
        <w:ind w:firstLine="640" w:firstLineChars="200"/>
        <w:rPr>
          <w:rFonts w:ascii="仿宋" w:hAnsi="仿宋" w:eastAsia="仿宋" w:cs="仿宋"/>
          <w:sz w:val="32"/>
          <w:szCs w:val="32"/>
        </w:rPr>
      </w:pPr>
      <w:r>
        <w:rPr>
          <w:rFonts w:hint="eastAsia" w:ascii="仿宋" w:hAnsi="仿宋" w:eastAsia="仿宋" w:cs="仿宋"/>
          <w:sz w:val="32"/>
          <w:szCs w:val="32"/>
        </w:rPr>
        <w:t>学校应当将校车驾驶人、随车照管人员的姓名、联系方式等信息，以及校车的发车和到达各接送站点的运行信息告知学生监护人。</w:t>
      </w:r>
    </w:p>
    <w:p w14:paraId="499BC71D">
      <w:pPr>
        <w:spacing w:line="572" w:lineRule="exact"/>
        <w:ind w:firstLine="640" w:firstLineChars="200"/>
        <w:rPr>
          <w:rFonts w:ascii="仿宋" w:hAnsi="仿宋" w:eastAsia="仿宋" w:cs="仿宋"/>
          <w:sz w:val="32"/>
          <w:szCs w:val="32"/>
        </w:rPr>
      </w:pPr>
      <w:r>
        <w:rPr>
          <w:rFonts w:hint="eastAsia" w:ascii="黑体" w:hAnsi="黑体" w:eastAsia="黑体" w:cs="黑体"/>
          <w:sz w:val="32"/>
          <w:szCs w:val="32"/>
        </w:rPr>
        <w:t>第十八条</w:t>
      </w:r>
      <w:r>
        <w:rPr>
          <w:rFonts w:hint="eastAsia" w:ascii="仿宋" w:hAnsi="仿宋" w:eastAsia="仿宋" w:cs="仿宋"/>
          <w:sz w:val="32"/>
          <w:szCs w:val="32"/>
        </w:rPr>
        <w:t xml:space="preserve">  中小学、幼儿园应当建立气象灾害预警通知制度。气象灾害预警信号在上下学途中生效的，校车驾驶员和随车照管人员应当就近寻找安全场所暂避，保护校车上的学生，并向学校报告相关情况。 </w:t>
      </w:r>
    </w:p>
    <w:p w14:paraId="3446AE34">
      <w:pPr>
        <w:spacing w:line="572" w:lineRule="exact"/>
        <w:ind w:firstLine="640" w:firstLineChars="200"/>
        <w:rPr>
          <w:rFonts w:ascii="仿宋" w:hAnsi="仿宋" w:eastAsia="仿宋" w:cs="仿宋"/>
          <w:sz w:val="32"/>
          <w:szCs w:val="32"/>
        </w:rPr>
      </w:pPr>
      <w:r>
        <w:rPr>
          <w:rFonts w:hint="eastAsia" w:ascii="黑体" w:hAnsi="黑体" w:eastAsia="黑体" w:cs="黑体"/>
          <w:sz w:val="32"/>
          <w:szCs w:val="32"/>
        </w:rPr>
        <w:t>第十九条</w:t>
      </w:r>
      <w:r>
        <w:rPr>
          <w:rFonts w:hint="eastAsia" w:ascii="仿宋" w:hAnsi="仿宋" w:eastAsia="仿宋" w:cs="仿宋"/>
          <w:sz w:val="32"/>
          <w:szCs w:val="32"/>
        </w:rPr>
        <w:t xml:space="preserve">  （一）市、县（市、区）人民政府应当依法制定、调整学校及幼儿园设置规划，加大公办学位供给，保障义务教育阶段学生和入园幼儿就近入学，减少上下学的交通风险。</w:t>
      </w:r>
    </w:p>
    <w:p w14:paraId="41F36C34">
      <w:pPr>
        <w:spacing w:line="572" w:lineRule="exact"/>
        <w:rPr>
          <w:rFonts w:ascii="仿宋" w:hAnsi="仿宋" w:eastAsia="仿宋" w:cs="仿宋"/>
          <w:sz w:val="32"/>
          <w:szCs w:val="32"/>
        </w:rPr>
      </w:pPr>
      <w:r>
        <w:rPr>
          <w:rFonts w:hint="eastAsia" w:ascii="仿宋" w:hAnsi="仿宋" w:eastAsia="仿宋" w:cs="仿宋"/>
          <w:sz w:val="32"/>
          <w:szCs w:val="32"/>
        </w:rPr>
        <w:t xml:space="preserve">    市、县（市、区）人民政府应当发展和完善城市和农村公共交通，为需要乘车上下学的学生提供方便。对确实难以保障就近入学，且公共交通不能满足学生上下学需要的农村地区，市、县（市、区）人民政府应当采取措施，保障接受义务教育的学生获得校车服务。</w:t>
      </w:r>
    </w:p>
    <w:p w14:paraId="726A3679">
      <w:pPr>
        <w:spacing w:line="572" w:lineRule="exact"/>
        <w:ind w:firstLine="640" w:firstLineChars="200"/>
        <w:rPr>
          <w:rFonts w:ascii="仿宋" w:hAnsi="仿宋" w:eastAsia="仿宋" w:cs="仿宋"/>
          <w:sz w:val="32"/>
          <w:szCs w:val="32"/>
        </w:rPr>
      </w:pPr>
      <w:r>
        <w:rPr>
          <w:rFonts w:hint="eastAsia" w:ascii="仿宋" w:hAnsi="仿宋" w:eastAsia="仿宋" w:cs="仿宋"/>
          <w:sz w:val="32"/>
          <w:szCs w:val="32"/>
        </w:rPr>
        <w:t>市、县（市、区）人民政府对本行政区域的校车安全管理工作负总责，统一领导、组织、协调有关部门履行校车安全管理职责。</w:t>
      </w:r>
    </w:p>
    <w:p w14:paraId="2BA5BB5E">
      <w:pPr>
        <w:spacing w:line="572"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市、县（市、区）人民政府应当建立校车安全管理联席会议机制。联席会议负责统筹协调校车安全管理工作中的重大事项，促进部门间协作配合，组织联合专项执法行动。 </w:t>
      </w:r>
    </w:p>
    <w:p w14:paraId="3CBF8981">
      <w:pPr>
        <w:spacing w:line="572" w:lineRule="exact"/>
        <w:ind w:firstLine="640" w:firstLineChars="200"/>
        <w:rPr>
          <w:rFonts w:ascii="仿宋" w:hAnsi="仿宋" w:eastAsia="仿宋" w:cs="仿宋"/>
          <w:sz w:val="32"/>
          <w:szCs w:val="32"/>
        </w:rPr>
      </w:pPr>
      <w:r>
        <w:rPr>
          <w:rFonts w:hint="eastAsia" w:ascii="仿宋" w:hAnsi="仿宋" w:eastAsia="仿宋" w:cs="仿宋"/>
          <w:sz w:val="32"/>
          <w:szCs w:val="32"/>
        </w:rPr>
        <w:t>（二）教育行政管理部门应当加强校车安全管理的监管工作，督促学校做好校车安全源头管理和安全隐患排查，对学校的安全教育及应急演练开展情况进行检查，指导监督学校建立校车安全管理工作制度、应急预案和安全管理台账。</w:t>
      </w:r>
    </w:p>
    <w:p w14:paraId="20FC45A2">
      <w:pPr>
        <w:spacing w:line="572" w:lineRule="exact"/>
        <w:ind w:firstLine="640" w:firstLineChars="200"/>
        <w:rPr>
          <w:rFonts w:ascii="仿宋" w:hAnsi="仿宋" w:eastAsia="仿宋" w:cs="仿宋"/>
          <w:sz w:val="32"/>
          <w:szCs w:val="32"/>
        </w:rPr>
      </w:pPr>
      <w:r>
        <w:rPr>
          <w:rFonts w:hint="eastAsia" w:ascii="仿宋" w:hAnsi="仿宋" w:eastAsia="仿宋" w:cs="仿宋"/>
          <w:sz w:val="32"/>
          <w:szCs w:val="32"/>
        </w:rPr>
        <w:t>（三）公安机关交通管理部门应当加强对校车运行情况进行监督检查；依法查处校车道路交通安全违法行为；县级公安机关交通管理部门应当建立辖区校车安全管理基础台账，每月汇总校车驾驶人交通违法和交通事故等情况，并通报学校、校车服务提供者和教育行政部门，提出处理建议。</w:t>
      </w:r>
    </w:p>
    <w:p w14:paraId="2A319085">
      <w:pPr>
        <w:spacing w:line="572" w:lineRule="exact"/>
        <w:ind w:firstLine="640" w:firstLineChars="200"/>
        <w:rPr>
          <w:rFonts w:ascii="仿宋" w:hAnsi="仿宋" w:eastAsia="仿宋" w:cs="仿宋"/>
          <w:sz w:val="32"/>
          <w:szCs w:val="32"/>
        </w:rPr>
      </w:pPr>
      <w:r>
        <w:rPr>
          <w:rFonts w:hint="eastAsia" w:ascii="仿宋" w:hAnsi="仿宋" w:eastAsia="仿宋" w:cs="仿宋"/>
          <w:sz w:val="32"/>
          <w:szCs w:val="32"/>
        </w:rPr>
        <w:t>（四）交通运输管理部门应当督促租赁校车服务提供者对所提供具备客运经营资质的车辆和驾驶人的管理，不断提高校车服务水平和安全保障能力。</w:t>
      </w:r>
    </w:p>
    <w:p w14:paraId="392C71E9">
      <w:pPr>
        <w:spacing w:line="572" w:lineRule="exact"/>
        <w:ind w:firstLine="640" w:firstLineChars="200"/>
        <w:rPr>
          <w:rFonts w:ascii="仿宋" w:hAnsi="仿宋" w:eastAsia="仿宋" w:cs="仿宋"/>
          <w:sz w:val="32"/>
          <w:szCs w:val="32"/>
        </w:rPr>
      </w:pPr>
      <w:r>
        <w:rPr>
          <w:rFonts w:hint="eastAsia" w:ascii="仿宋" w:hAnsi="仿宋" w:eastAsia="仿宋" w:cs="仿宋"/>
          <w:sz w:val="32"/>
          <w:szCs w:val="32"/>
        </w:rPr>
        <w:t>（五）教育、公安、交通运输、应急管理等行政管理部门应当依照国家、省、市的有关规定，履行校车安全管理的相关职责，建立完善校车安全管理信息共享、工作会商和定期联合抽查机制，设立并公布举报电话、举报网络平台，方便群众举报违反校车安全管理规定的行为，在接到举报后10日内依法处理，对不属于本部门管理职责的举报，应当及时移送有关部门处理。</w:t>
      </w:r>
    </w:p>
    <w:p w14:paraId="379EF970">
      <w:pPr>
        <w:spacing w:line="572" w:lineRule="exact"/>
        <w:ind w:firstLine="640" w:firstLineChars="200"/>
        <w:rPr>
          <w:rFonts w:ascii="仿宋" w:hAnsi="仿宋" w:eastAsia="仿宋" w:cs="仿宋"/>
          <w:sz w:val="32"/>
          <w:szCs w:val="32"/>
        </w:rPr>
      </w:pPr>
      <w:r>
        <w:rPr>
          <w:rFonts w:hint="eastAsia" w:ascii="仿宋" w:hAnsi="仿宋" w:eastAsia="仿宋" w:cs="仿宋"/>
          <w:sz w:val="32"/>
          <w:szCs w:val="32"/>
        </w:rPr>
        <w:t>（六）配备校车的学校和校车服务提供者应当按照国家、省、市的有关规定建立健全校车安全管理制度，配备安全管理人员，随车照管人员，加强校车安全维护；每学期对校车驾驶人、随车照管人员进行不少于3次的安全教育，组织学习道路交通安全法律法规以及安全防范、应急处置和应急救援知识，保障学生乘坐校车安全。学校应当对教师、学生及其监护人进行交通安全教育，讲解校车安全乘坐知识，劝导学生不乘坐无客运资质的车辆，并定期组织应对校车安全事故的应急疏散演练。</w:t>
      </w:r>
    </w:p>
    <w:p w14:paraId="3523DCFF">
      <w:pPr>
        <w:spacing w:line="572" w:lineRule="exact"/>
        <w:ind w:firstLine="640" w:firstLineChars="200"/>
        <w:rPr>
          <w:rFonts w:ascii="仿宋" w:hAnsi="仿宋" w:eastAsia="仿宋" w:cs="仿宋"/>
          <w:sz w:val="32"/>
          <w:szCs w:val="32"/>
        </w:rPr>
      </w:pPr>
      <w:r>
        <w:rPr>
          <w:rFonts w:hint="eastAsia" w:ascii="黑体" w:hAnsi="黑体" w:eastAsia="黑体" w:cs="黑体"/>
          <w:sz w:val="32"/>
          <w:szCs w:val="32"/>
        </w:rPr>
        <w:t>第二十条</w:t>
      </w:r>
      <w:r>
        <w:rPr>
          <w:rFonts w:hint="eastAsia" w:ascii="仿宋" w:hAnsi="仿宋" w:eastAsia="仿宋" w:cs="仿宋"/>
          <w:sz w:val="32"/>
          <w:szCs w:val="32"/>
        </w:rPr>
        <w:t xml:space="preserve">  市县财政部门按照中央和省有关规定，落实校车服务资金。</w:t>
      </w:r>
    </w:p>
    <w:p w14:paraId="2D668730">
      <w:pPr>
        <w:spacing w:line="572" w:lineRule="exact"/>
        <w:ind w:firstLine="640" w:firstLineChars="200"/>
        <w:rPr>
          <w:rFonts w:ascii="仿宋" w:hAnsi="仿宋" w:eastAsia="仿宋" w:cs="仿宋"/>
          <w:sz w:val="32"/>
          <w:szCs w:val="32"/>
        </w:rPr>
      </w:pPr>
      <w:r>
        <w:rPr>
          <w:rFonts w:hint="eastAsia" w:ascii="黑体" w:hAnsi="黑体" w:eastAsia="黑体" w:cs="黑体"/>
          <w:sz w:val="32"/>
          <w:szCs w:val="32"/>
        </w:rPr>
        <w:t>第二十一条</w:t>
      </w:r>
      <w:r>
        <w:rPr>
          <w:rFonts w:hint="eastAsia" w:ascii="仿宋" w:hAnsi="仿宋" w:eastAsia="仿宋" w:cs="仿宋"/>
          <w:sz w:val="32"/>
          <w:szCs w:val="32"/>
        </w:rPr>
        <w:t xml:space="preserve">  配备校车的学校和校车服务提供者违反《校车安全管理条例》《广东省实施&lt;校车安全管理条例&gt;办法》和本办法的其他行为的，依法予以处罚；造成学生人身伤害的，学校依法承担民事责任；构成犯罪的，依法追究学校领导和直接责任人刑事责任。 </w:t>
      </w:r>
    </w:p>
    <w:p w14:paraId="28B0F322">
      <w:pPr>
        <w:spacing w:line="572" w:lineRule="exact"/>
        <w:ind w:firstLine="640" w:firstLineChars="200"/>
        <w:rPr>
          <w:rFonts w:ascii="仿宋" w:hAnsi="仿宋" w:eastAsia="仿宋" w:cs="仿宋"/>
          <w:sz w:val="32"/>
          <w:szCs w:val="32"/>
        </w:rPr>
      </w:pPr>
      <w:r>
        <w:rPr>
          <w:rFonts w:hint="eastAsia" w:ascii="黑体" w:hAnsi="黑体" w:eastAsia="黑体" w:cs="黑体"/>
          <w:sz w:val="32"/>
          <w:szCs w:val="32"/>
        </w:rPr>
        <w:t>第二十二条</w:t>
      </w:r>
      <w:r>
        <w:rPr>
          <w:rFonts w:hint="eastAsia" w:ascii="仿宋" w:hAnsi="仿宋" w:eastAsia="仿宋" w:cs="仿宋"/>
          <w:sz w:val="32"/>
          <w:szCs w:val="32"/>
        </w:rPr>
        <w:t xml:space="preserve">  本市港澳台子弟学校、外籍人员子女学校的校车安全管理，参照本办法执行。</w:t>
      </w:r>
    </w:p>
    <w:p w14:paraId="0A50F961">
      <w:pPr>
        <w:spacing w:line="572" w:lineRule="exact"/>
        <w:ind w:firstLine="640" w:firstLineChars="200"/>
        <w:rPr>
          <w:rFonts w:ascii="仿宋" w:hAnsi="仿宋" w:eastAsia="仿宋" w:cs="仿宋"/>
          <w:sz w:val="32"/>
          <w:szCs w:val="32"/>
        </w:rPr>
      </w:pPr>
      <w:r>
        <w:rPr>
          <w:rFonts w:hint="eastAsia" w:ascii="黑体" w:hAnsi="黑体" w:eastAsia="黑体" w:cs="黑体"/>
          <w:sz w:val="32"/>
          <w:szCs w:val="32"/>
        </w:rPr>
        <w:t>第二十三条</w:t>
      </w:r>
      <w:r>
        <w:rPr>
          <w:rFonts w:hint="eastAsia" w:ascii="仿宋" w:hAnsi="仿宋" w:eastAsia="仿宋" w:cs="仿宋"/>
          <w:sz w:val="32"/>
          <w:szCs w:val="32"/>
        </w:rPr>
        <w:t xml:space="preserve">  本办法2025年X月X日起施行，有效期5年。</w:t>
      </w:r>
    </w:p>
    <w:p w14:paraId="663E8428">
      <w:pPr>
        <w:spacing w:line="572" w:lineRule="exact"/>
        <w:rPr>
          <w:rFonts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9329770"/>
    </w:sdtPr>
    <w:sdtContent>
      <w:p w14:paraId="1A5386CC">
        <w:pPr>
          <w:pStyle w:val="6"/>
          <w:jc w:val="right"/>
        </w:pPr>
        <w:r>
          <w:fldChar w:fldCharType="begin"/>
        </w:r>
        <w:r>
          <w:instrText xml:space="preserve">PAGE   \* MERGEFORMAT</w:instrText>
        </w:r>
        <w:r>
          <w:fldChar w:fldCharType="separate"/>
        </w:r>
        <w:r>
          <w:rPr>
            <w:lang w:val="zh-CN"/>
          </w:rPr>
          <w:t>5</w:t>
        </w:r>
        <w:r>
          <w:fldChar w:fldCharType="end"/>
        </w:r>
      </w:p>
    </w:sdtContent>
  </w:sdt>
  <w:p w14:paraId="5168674F">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FF1"/>
    <w:rsid w:val="00005EBA"/>
    <w:rsid w:val="000109CD"/>
    <w:rsid w:val="00010DEC"/>
    <w:rsid w:val="00014AD7"/>
    <w:rsid w:val="00016453"/>
    <w:rsid w:val="00020F6D"/>
    <w:rsid w:val="00027F61"/>
    <w:rsid w:val="0003487A"/>
    <w:rsid w:val="00041114"/>
    <w:rsid w:val="0005544A"/>
    <w:rsid w:val="00061F50"/>
    <w:rsid w:val="000773C0"/>
    <w:rsid w:val="00084CB6"/>
    <w:rsid w:val="00085787"/>
    <w:rsid w:val="00085A10"/>
    <w:rsid w:val="00093AC3"/>
    <w:rsid w:val="0009512E"/>
    <w:rsid w:val="000A6533"/>
    <w:rsid w:val="000B1A9B"/>
    <w:rsid w:val="000B61FC"/>
    <w:rsid w:val="000B7554"/>
    <w:rsid w:val="000C0F2B"/>
    <w:rsid w:val="000C3F68"/>
    <w:rsid w:val="000D2984"/>
    <w:rsid w:val="000D3D88"/>
    <w:rsid w:val="000E7144"/>
    <w:rsid w:val="000E7E35"/>
    <w:rsid w:val="00110EA8"/>
    <w:rsid w:val="00111528"/>
    <w:rsid w:val="00112746"/>
    <w:rsid w:val="001171D2"/>
    <w:rsid w:val="00135045"/>
    <w:rsid w:val="00164885"/>
    <w:rsid w:val="001663B2"/>
    <w:rsid w:val="00182D35"/>
    <w:rsid w:val="00185CE0"/>
    <w:rsid w:val="00193CEC"/>
    <w:rsid w:val="001A0679"/>
    <w:rsid w:val="001B5019"/>
    <w:rsid w:val="001B7FC1"/>
    <w:rsid w:val="001C594C"/>
    <w:rsid w:val="001C602E"/>
    <w:rsid w:val="001D10FA"/>
    <w:rsid w:val="001D11F6"/>
    <w:rsid w:val="001E4143"/>
    <w:rsid w:val="001E649C"/>
    <w:rsid w:val="00205C28"/>
    <w:rsid w:val="00213F69"/>
    <w:rsid w:val="00221F5A"/>
    <w:rsid w:val="002262A4"/>
    <w:rsid w:val="00230516"/>
    <w:rsid w:val="00243F71"/>
    <w:rsid w:val="002513A2"/>
    <w:rsid w:val="002609D8"/>
    <w:rsid w:val="0026122C"/>
    <w:rsid w:val="0026163C"/>
    <w:rsid w:val="00267D22"/>
    <w:rsid w:val="00272422"/>
    <w:rsid w:val="00281DC5"/>
    <w:rsid w:val="00282D2A"/>
    <w:rsid w:val="00283297"/>
    <w:rsid w:val="00293A6C"/>
    <w:rsid w:val="002B2EDA"/>
    <w:rsid w:val="002B2F53"/>
    <w:rsid w:val="002B38F4"/>
    <w:rsid w:val="002B65D9"/>
    <w:rsid w:val="002C5043"/>
    <w:rsid w:val="002C7E7A"/>
    <w:rsid w:val="002D18DE"/>
    <w:rsid w:val="002D550E"/>
    <w:rsid w:val="002F2C28"/>
    <w:rsid w:val="002F3069"/>
    <w:rsid w:val="0030241B"/>
    <w:rsid w:val="00302AE7"/>
    <w:rsid w:val="003209AE"/>
    <w:rsid w:val="00322C55"/>
    <w:rsid w:val="00325402"/>
    <w:rsid w:val="003321FC"/>
    <w:rsid w:val="00355811"/>
    <w:rsid w:val="0035768F"/>
    <w:rsid w:val="003602D1"/>
    <w:rsid w:val="003665BC"/>
    <w:rsid w:val="00391E31"/>
    <w:rsid w:val="00393270"/>
    <w:rsid w:val="00395B49"/>
    <w:rsid w:val="003A1667"/>
    <w:rsid w:val="003A21ED"/>
    <w:rsid w:val="003A6236"/>
    <w:rsid w:val="003A6FF1"/>
    <w:rsid w:val="003B1CAE"/>
    <w:rsid w:val="003C7BB3"/>
    <w:rsid w:val="003E2DA5"/>
    <w:rsid w:val="003F410B"/>
    <w:rsid w:val="003F5572"/>
    <w:rsid w:val="00403BFA"/>
    <w:rsid w:val="00411B2C"/>
    <w:rsid w:val="0041460E"/>
    <w:rsid w:val="00424286"/>
    <w:rsid w:val="00424FCB"/>
    <w:rsid w:val="00442E0F"/>
    <w:rsid w:val="00450D8A"/>
    <w:rsid w:val="0045117F"/>
    <w:rsid w:val="00460860"/>
    <w:rsid w:val="00464B09"/>
    <w:rsid w:val="00472B1B"/>
    <w:rsid w:val="004749B3"/>
    <w:rsid w:val="00490B44"/>
    <w:rsid w:val="00491C9D"/>
    <w:rsid w:val="00492972"/>
    <w:rsid w:val="0049357D"/>
    <w:rsid w:val="004A6E6A"/>
    <w:rsid w:val="004B044C"/>
    <w:rsid w:val="004B5EF2"/>
    <w:rsid w:val="004B7EF4"/>
    <w:rsid w:val="004C34AA"/>
    <w:rsid w:val="004E05C8"/>
    <w:rsid w:val="004E3122"/>
    <w:rsid w:val="004E6944"/>
    <w:rsid w:val="004F7EEB"/>
    <w:rsid w:val="00505D52"/>
    <w:rsid w:val="00505DF9"/>
    <w:rsid w:val="005073AA"/>
    <w:rsid w:val="0051123F"/>
    <w:rsid w:val="00520CDB"/>
    <w:rsid w:val="00520F9F"/>
    <w:rsid w:val="005215A3"/>
    <w:rsid w:val="00525C0D"/>
    <w:rsid w:val="0053231C"/>
    <w:rsid w:val="00533984"/>
    <w:rsid w:val="005522F4"/>
    <w:rsid w:val="00552476"/>
    <w:rsid w:val="00561FF8"/>
    <w:rsid w:val="00575F0D"/>
    <w:rsid w:val="00576DF8"/>
    <w:rsid w:val="00577647"/>
    <w:rsid w:val="00591024"/>
    <w:rsid w:val="005A60C0"/>
    <w:rsid w:val="005A6D35"/>
    <w:rsid w:val="005B5FA6"/>
    <w:rsid w:val="005D4D43"/>
    <w:rsid w:val="00604C2F"/>
    <w:rsid w:val="00612B54"/>
    <w:rsid w:val="006145AA"/>
    <w:rsid w:val="006272E7"/>
    <w:rsid w:val="00633A9F"/>
    <w:rsid w:val="006421A2"/>
    <w:rsid w:val="00652CCE"/>
    <w:rsid w:val="0065445C"/>
    <w:rsid w:val="00657A83"/>
    <w:rsid w:val="00662480"/>
    <w:rsid w:val="00664664"/>
    <w:rsid w:val="00670B99"/>
    <w:rsid w:val="006726D8"/>
    <w:rsid w:val="00682D35"/>
    <w:rsid w:val="00690B24"/>
    <w:rsid w:val="006929E5"/>
    <w:rsid w:val="006937BB"/>
    <w:rsid w:val="0069486C"/>
    <w:rsid w:val="006A18DB"/>
    <w:rsid w:val="006A7913"/>
    <w:rsid w:val="006B02E7"/>
    <w:rsid w:val="006B652A"/>
    <w:rsid w:val="006D2190"/>
    <w:rsid w:val="006D5A5E"/>
    <w:rsid w:val="006D68EC"/>
    <w:rsid w:val="006E34BB"/>
    <w:rsid w:val="00700E29"/>
    <w:rsid w:val="007233EB"/>
    <w:rsid w:val="007270EE"/>
    <w:rsid w:val="00745D28"/>
    <w:rsid w:val="007474F6"/>
    <w:rsid w:val="00784CAD"/>
    <w:rsid w:val="00794245"/>
    <w:rsid w:val="007A14F8"/>
    <w:rsid w:val="007A1F44"/>
    <w:rsid w:val="007A6EB6"/>
    <w:rsid w:val="007B2027"/>
    <w:rsid w:val="007B3BB9"/>
    <w:rsid w:val="007B5E05"/>
    <w:rsid w:val="007C429E"/>
    <w:rsid w:val="007C506E"/>
    <w:rsid w:val="007D3FB3"/>
    <w:rsid w:val="007D4509"/>
    <w:rsid w:val="007E5076"/>
    <w:rsid w:val="007E5E96"/>
    <w:rsid w:val="00814E70"/>
    <w:rsid w:val="00817495"/>
    <w:rsid w:val="00817E6B"/>
    <w:rsid w:val="008511A2"/>
    <w:rsid w:val="008600D4"/>
    <w:rsid w:val="00861C11"/>
    <w:rsid w:val="00863D84"/>
    <w:rsid w:val="00867968"/>
    <w:rsid w:val="00875D1A"/>
    <w:rsid w:val="00882907"/>
    <w:rsid w:val="008903A8"/>
    <w:rsid w:val="00891EC3"/>
    <w:rsid w:val="008A21ED"/>
    <w:rsid w:val="008A680D"/>
    <w:rsid w:val="008A6C85"/>
    <w:rsid w:val="008B1809"/>
    <w:rsid w:val="008B4006"/>
    <w:rsid w:val="008C0F7E"/>
    <w:rsid w:val="008C5556"/>
    <w:rsid w:val="008E07D8"/>
    <w:rsid w:val="008E19FA"/>
    <w:rsid w:val="0090162C"/>
    <w:rsid w:val="009039FF"/>
    <w:rsid w:val="00910FE1"/>
    <w:rsid w:val="009131D7"/>
    <w:rsid w:val="00917223"/>
    <w:rsid w:val="009202FF"/>
    <w:rsid w:val="00921715"/>
    <w:rsid w:val="00921EAF"/>
    <w:rsid w:val="00926382"/>
    <w:rsid w:val="00927F3E"/>
    <w:rsid w:val="00932B12"/>
    <w:rsid w:val="009454CE"/>
    <w:rsid w:val="00964691"/>
    <w:rsid w:val="009754A8"/>
    <w:rsid w:val="00991D95"/>
    <w:rsid w:val="00994E84"/>
    <w:rsid w:val="009A1DBC"/>
    <w:rsid w:val="009A4C78"/>
    <w:rsid w:val="009C548F"/>
    <w:rsid w:val="009C7DEE"/>
    <w:rsid w:val="009E18D2"/>
    <w:rsid w:val="009E30D3"/>
    <w:rsid w:val="009E3288"/>
    <w:rsid w:val="009E4350"/>
    <w:rsid w:val="009F59F0"/>
    <w:rsid w:val="00A01436"/>
    <w:rsid w:val="00A11260"/>
    <w:rsid w:val="00A250DC"/>
    <w:rsid w:val="00A26033"/>
    <w:rsid w:val="00A52B8A"/>
    <w:rsid w:val="00A74FA7"/>
    <w:rsid w:val="00AA7142"/>
    <w:rsid w:val="00AB3E0B"/>
    <w:rsid w:val="00AC31D2"/>
    <w:rsid w:val="00AD74A3"/>
    <w:rsid w:val="00AE248A"/>
    <w:rsid w:val="00B131BD"/>
    <w:rsid w:val="00B20520"/>
    <w:rsid w:val="00B22757"/>
    <w:rsid w:val="00B46651"/>
    <w:rsid w:val="00B467ED"/>
    <w:rsid w:val="00B53078"/>
    <w:rsid w:val="00B67CEB"/>
    <w:rsid w:val="00B7037E"/>
    <w:rsid w:val="00B8397C"/>
    <w:rsid w:val="00B9095C"/>
    <w:rsid w:val="00B950FD"/>
    <w:rsid w:val="00BA236D"/>
    <w:rsid w:val="00BB3BA9"/>
    <w:rsid w:val="00BB7617"/>
    <w:rsid w:val="00BD37C1"/>
    <w:rsid w:val="00BE1011"/>
    <w:rsid w:val="00BE6FBD"/>
    <w:rsid w:val="00BF7166"/>
    <w:rsid w:val="00C15AC4"/>
    <w:rsid w:val="00C252CC"/>
    <w:rsid w:val="00C27812"/>
    <w:rsid w:val="00C3520E"/>
    <w:rsid w:val="00C4375E"/>
    <w:rsid w:val="00C47858"/>
    <w:rsid w:val="00C62E58"/>
    <w:rsid w:val="00C655E2"/>
    <w:rsid w:val="00C70560"/>
    <w:rsid w:val="00C70D26"/>
    <w:rsid w:val="00C81219"/>
    <w:rsid w:val="00C87E66"/>
    <w:rsid w:val="00CA10CC"/>
    <w:rsid w:val="00CA115F"/>
    <w:rsid w:val="00CA3413"/>
    <w:rsid w:val="00CA5CA0"/>
    <w:rsid w:val="00CC0970"/>
    <w:rsid w:val="00CD09D2"/>
    <w:rsid w:val="00CD2450"/>
    <w:rsid w:val="00CD3502"/>
    <w:rsid w:val="00CE3714"/>
    <w:rsid w:val="00CE658E"/>
    <w:rsid w:val="00CE7D70"/>
    <w:rsid w:val="00CF0B05"/>
    <w:rsid w:val="00CF5221"/>
    <w:rsid w:val="00D049AE"/>
    <w:rsid w:val="00D13AC2"/>
    <w:rsid w:val="00D15FD4"/>
    <w:rsid w:val="00D37BFD"/>
    <w:rsid w:val="00D4512B"/>
    <w:rsid w:val="00D451B1"/>
    <w:rsid w:val="00D4558F"/>
    <w:rsid w:val="00D549B2"/>
    <w:rsid w:val="00D60593"/>
    <w:rsid w:val="00D62679"/>
    <w:rsid w:val="00D636C1"/>
    <w:rsid w:val="00D63FB5"/>
    <w:rsid w:val="00D656B9"/>
    <w:rsid w:val="00D66E07"/>
    <w:rsid w:val="00D76CF1"/>
    <w:rsid w:val="00D91715"/>
    <w:rsid w:val="00D9376B"/>
    <w:rsid w:val="00D93CA3"/>
    <w:rsid w:val="00D959FB"/>
    <w:rsid w:val="00D95F8E"/>
    <w:rsid w:val="00DA6275"/>
    <w:rsid w:val="00DA7901"/>
    <w:rsid w:val="00DB165E"/>
    <w:rsid w:val="00DB248D"/>
    <w:rsid w:val="00DB4901"/>
    <w:rsid w:val="00DB4DA0"/>
    <w:rsid w:val="00DB5C33"/>
    <w:rsid w:val="00DC65C6"/>
    <w:rsid w:val="00DC76A5"/>
    <w:rsid w:val="00DF766F"/>
    <w:rsid w:val="00E067E7"/>
    <w:rsid w:val="00E12B38"/>
    <w:rsid w:val="00E23B3C"/>
    <w:rsid w:val="00E3438E"/>
    <w:rsid w:val="00E411D8"/>
    <w:rsid w:val="00E437CA"/>
    <w:rsid w:val="00E52931"/>
    <w:rsid w:val="00E5435F"/>
    <w:rsid w:val="00E569F0"/>
    <w:rsid w:val="00E80C22"/>
    <w:rsid w:val="00E92D8F"/>
    <w:rsid w:val="00E932EA"/>
    <w:rsid w:val="00EA6A1D"/>
    <w:rsid w:val="00ED07CA"/>
    <w:rsid w:val="00EF0991"/>
    <w:rsid w:val="00F105CE"/>
    <w:rsid w:val="00F14189"/>
    <w:rsid w:val="00F142F3"/>
    <w:rsid w:val="00F16E01"/>
    <w:rsid w:val="00F17F7B"/>
    <w:rsid w:val="00F25758"/>
    <w:rsid w:val="00F320BE"/>
    <w:rsid w:val="00F32774"/>
    <w:rsid w:val="00F41058"/>
    <w:rsid w:val="00F50B9C"/>
    <w:rsid w:val="00F72595"/>
    <w:rsid w:val="00F75CB5"/>
    <w:rsid w:val="00F815B4"/>
    <w:rsid w:val="00F85CB7"/>
    <w:rsid w:val="00F9445D"/>
    <w:rsid w:val="00FC14D7"/>
    <w:rsid w:val="00FC2FF8"/>
    <w:rsid w:val="00FD2001"/>
    <w:rsid w:val="00FE3229"/>
    <w:rsid w:val="10947BCD"/>
    <w:rsid w:val="10CC5BA4"/>
    <w:rsid w:val="16900E36"/>
    <w:rsid w:val="1A085187"/>
    <w:rsid w:val="1DFC4CE3"/>
    <w:rsid w:val="22897EA8"/>
    <w:rsid w:val="26EC0B59"/>
    <w:rsid w:val="2B472ACE"/>
    <w:rsid w:val="37F93D9D"/>
    <w:rsid w:val="3A407E5F"/>
    <w:rsid w:val="40026051"/>
    <w:rsid w:val="42DC0DDB"/>
    <w:rsid w:val="6FD24F90"/>
    <w:rsid w:val="77091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link w:val="15"/>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3"/>
    <w:basedOn w:val="1"/>
    <w:link w:val="16"/>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99"/>
    <w:pPr>
      <w:jc w:val="left"/>
    </w:pPr>
  </w:style>
  <w:style w:type="paragraph" w:styleId="5">
    <w:name w:val="Balloon Text"/>
    <w:basedOn w:val="1"/>
    <w:link w:val="19"/>
    <w:semiHidden/>
    <w:unhideWhenUsed/>
    <w:qFormat/>
    <w:uiPriority w:val="99"/>
    <w:rPr>
      <w:sz w:val="18"/>
      <w:szCs w:val="18"/>
    </w:rPr>
  </w:style>
  <w:style w:type="paragraph" w:styleId="6">
    <w:name w:val="footer"/>
    <w:basedOn w:val="1"/>
    <w:link w:val="21"/>
    <w:unhideWhenUsed/>
    <w:qFormat/>
    <w:uiPriority w:val="99"/>
    <w:pPr>
      <w:tabs>
        <w:tab w:val="center" w:pos="4153"/>
        <w:tab w:val="right" w:pos="8306"/>
      </w:tabs>
      <w:snapToGrid w:val="0"/>
      <w:jc w:val="left"/>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4"/>
    <w:next w:val="4"/>
    <w:link w:val="18"/>
    <w:semiHidden/>
    <w:unhideWhenUsed/>
    <w:qFormat/>
    <w:uiPriority w:val="99"/>
    <w:rPr>
      <w:b/>
      <w:bCs/>
    </w:rPr>
  </w:style>
  <w:style w:type="character" w:styleId="12">
    <w:name w:val="Strong"/>
    <w:basedOn w:val="11"/>
    <w:qFormat/>
    <w:uiPriority w:val="22"/>
    <w:rPr>
      <w:b/>
      <w:bCs/>
    </w:rPr>
  </w:style>
  <w:style w:type="character" w:styleId="13">
    <w:name w:val="Emphasis"/>
    <w:basedOn w:val="11"/>
    <w:qFormat/>
    <w:uiPriority w:val="20"/>
    <w:rPr>
      <w:i/>
      <w:iCs/>
    </w:rPr>
  </w:style>
  <w:style w:type="character" w:styleId="14">
    <w:name w:val="annotation reference"/>
    <w:basedOn w:val="11"/>
    <w:semiHidden/>
    <w:unhideWhenUsed/>
    <w:qFormat/>
    <w:uiPriority w:val="99"/>
    <w:rPr>
      <w:sz w:val="21"/>
      <w:szCs w:val="21"/>
    </w:rPr>
  </w:style>
  <w:style w:type="character" w:customStyle="1" w:styleId="15">
    <w:name w:val="标题 2 Char"/>
    <w:basedOn w:val="11"/>
    <w:link w:val="2"/>
    <w:qFormat/>
    <w:uiPriority w:val="9"/>
    <w:rPr>
      <w:rFonts w:ascii="宋体" w:hAnsi="宋体" w:eastAsia="宋体" w:cs="宋体"/>
      <w:b/>
      <w:bCs/>
      <w:kern w:val="0"/>
      <w:sz w:val="36"/>
      <w:szCs w:val="36"/>
    </w:rPr>
  </w:style>
  <w:style w:type="character" w:customStyle="1" w:styleId="16">
    <w:name w:val="标题 3 Char"/>
    <w:basedOn w:val="11"/>
    <w:link w:val="3"/>
    <w:qFormat/>
    <w:uiPriority w:val="9"/>
    <w:rPr>
      <w:rFonts w:ascii="宋体" w:hAnsi="宋体" w:eastAsia="宋体" w:cs="宋体"/>
      <w:b/>
      <w:bCs/>
      <w:kern w:val="0"/>
      <w:sz w:val="27"/>
      <w:szCs w:val="27"/>
    </w:rPr>
  </w:style>
  <w:style w:type="character" w:customStyle="1" w:styleId="17">
    <w:name w:val="批注文字 Char"/>
    <w:basedOn w:val="11"/>
    <w:link w:val="4"/>
    <w:semiHidden/>
    <w:qFormat/>
    <w:uiPriority w:val="99"/>
  </w:style>
  <w:style w:type="character" w:customStyle="1" w:styleId="18">
    <w:name w:val="批注主题 Char"/>
    <w:basedOn w:val="17"/>
    <w:link w:val="9"/>
    <w:semiHidden/>
    <w:qFormat/>
    <w:uiPriority w:val="99"/>
    <w:rPr>
      <w:b/>
      <w:bCs/>
    </w:rPr>
  </w:style>
  <w:style w:type="character" w:customStyle="1" w:styleId="19">
    <w:name w:val="批注框文本 Char"/>
    <w:basedOn w:val="11"/>
    <w:link w:val="5"/>
    <w:semiHidden/>
    <w:qFormat/>
    <w:uiPriority w:val="99"/>
    <w:rPr>
      <w:sz w:val="18"/>
      <w:szCs w:val="18"/>
    </w:rPr>
  </w:style>
  <w:style w:type="character" w:customStyle="1" w:styleId="20">
    <w:name w:val="页眉 Char"/>
    <w:basedOn w:val="11"/>
    <w:link w:val="7"/>
    <w:qFormat/>
    <w:uiPriority w:val="99"/>
    <w:rPr>
      <w:sz w:val="18"/>
      <w:szCs w:val="18"/>
    </w:rPr>
  </w:style>
  <w:style w:type="character" w:customStyle="1" w:styleId="21">
    <w:name w:val="页脚 Char"/>
    <w:basedOn w:val="11"/>
    <w:link w:val="6"/>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3083</Words>
  <Characters>3089</Characters>
  <Lines>31</Lines>
  <Paragraphs>8</Paragraphs>
  <TotalTime>4</TotalTime>
  <ScaleCrop>false</ScaleCrop>
  <LinksUpToDate>false</LinksUpToDate>
  <CharactersWithSpaces>3149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2025-07-03T02:07:00Z</dcterms:created>
  <dc:creator>null</dc:creator>
  <cp:lastModifiedBy>东乡一二三大好き</cp:lastModifiedBy>
  <cp:lastPrinted>2025-07-01T08:50:00Z</cp:lastPrinted>
  <dcterms:modified xsi:type="dcterms:W3CDTF">2025-07-11T10:28:16Z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eyJoZGlkIjoiZjkzMDE3NjM1YWVmZDY3YjYxY2Q5ZGEzNDZhODQxZDUiLCJ1c2VySWQiOiIzOTUyNDYzMjUifQ==</vt:lpwstr>
  </property>
  <property fmtid="{D5CDD505-2E9C-101B-9397-08002B2CF9AE}" pid="3" name="KSOProductBuildVer">
    <vt:lpwstr>2052-12.1.0.21915</vt:lpwstr>
  </property>
  <property fmtid="{D5CDD505-2E9C-101B-9397-08002B2CF9AE}" pid="4" name="ICV">
    <vt:lpwstr>B226D44AA3A849D3801E780645B10E4D_12</vt:lpwstr>
  </property>
</Properties>
</file>